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680E15">
        <w:rPr>
          <w:rFonts w:ascii="Times New Roman" w:hAnsi="Times New Roman" w:cs="Times New Roman"/>
          <w:b/>
          <w:sz w:val="28"/>
          <w:szCs w:val="28"/>
        </w:rPr>
        <w:t>оказала более 4 тыс. услуг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В 2018 году офисы Кадастровой палаты по Ростовской области оказали 4281 консультационную услугу.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3126FA" w:rsidRDefault="00902352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9D" w:rsidRPr="005D0C5F" w:rsidRDefault="0012771B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A97F1B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TSKazaeva</dc:creator>
  <cp:lastModifiedBy>ESSosedkina</cp:lastModifiedBy>
  <cp:revision>148</cp:revision>
  <cp:lastPrinted>2017-09-13T08:16:00Z</cp:lastPrinted>
  <dcterms:created xsi:type="dcterms:W3CDTF">2017-09-12T07:58:00Z</dcterms:created>
  <dcterms:modified xsi:type="dcterms:W3CDTF">2019-01-14T08:29:00Z</dcterms:modified>
</cp:coreProperties>
</file>