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14"/>
          <w:szCs w:val="24"/>
        </w:rPr>
      </w:pPr>
      <w:r>
        <w:rPr/>
        <w:drawing>
          <wp:inline distT="0" distB="0" distL="0" distR="0">
            <wp:extent cx="828675" cy="802005"/>
            <wp:effectExtent l="0" t="0" r="0" b="0"/>
            <wp:docPr id="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Азово-Черноморское территориальное управление </w:t>
        <w:br/>
        <w:t>Федерального агентства по рыболовству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ПАМЯТКА </w:t>
        <w:br/>
        <w:t>РЫБОЛОВАМ ЛЮБИТЕЛЯМ</w:t>
      </w:r>
    </w:p>
    <w:p>
      <w:pPr>
        <w:pStyle w:val="ConsPlusNormal"/>
        <w:ind w:firstLine="539"/>
        <w:jc w:val="center"/>
        <w:rPr>
          <w:rFonts w:ascii="Times New Roman CYR" w:hAnsi="Times New Roman CYR" w:cs="Times New Roman CYR"/>
          <w:b/>
          <w:sz w:val="20"/>
        </w:rPr>
      </w:pPr>
      <w:r>
        <w:rPr>
          <w:rFonts w:cs="Times New Roman CYR" w:ascii="Times New Roman CYR" w:hAnsi="Times New Roman CYR"/>
          <w:b/>
          <w:sz w:val="20"/>
        </w:rPr>
        <w:t xml:space="preserve">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</w:t>
        <w:br/>
        <w:t xml:space="preserve">Азово-Черноморского рыбохозяйственного бассейна, утвержденных Приказом Минсельхоза России </w:t>
      </w:r>
    </w:p>
    <w:p>
      <w:pPr>
        <w:pStyle w:val="ConsPlusNormal"/>
        <w:ind w:firstLine="539"/>
        <w:jc w:val="center"/>
        <w:rPr>
          <w:sz w:val="10"/>
          <w:szCs w:val="10"/>
        </w:rPr>
      </w:pPr>
      <w:r>
        <w:rPr>
          <w:rFonts w:cs="Times New Roman CYR" w:ascii="Times New Roman CYR" w:hAnsi="Times New Roman CYR"/>
          <w:b/>
          <w:sz w:val="20"/>
        </w:rPr>
        <w:t>от 09 января 2020 г. № 1</w:t>
      </w:r>
      <w:r>
        <w:rPr>
          <w:rFonts w:cs="Times New Roman CYR" w:ascii="Times New Roman CYR" w:hAnsi="Times New Roman CYR"/>
          <w:b/>
          <w:sz w:val="22"/>
        </w:rPr>
        <w:t xml:space="preserve"> </w:t>
      </w:r>
      <w:r>
        <w:rPr>
          <w:rFonts w:cs="Times New Roman CYR" w:ascii="Times New Roman CYR" w:hAnsi="Times New Roman CYR"/>
          <w:b/>
        </w:rPr>
        <w:b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themeColor="text1" w:val="000000"/>
          <w:sz w:val="18"/>
          <w:szCs w:val="18"/>
        </w:rPr>
      </w:pPr>
      <w:r>
        <w:rPr>
          <w:color w:val="333333"/>
          <w:sz w:val="18"/>
          <w:szCs w:val="18"/>
        </w:rPr>
        <w:t>11</w:t>
      </w:r>
      <w:r>
        <w:rPr>
          <w:color w:themeColor="text1" w:val="000000"/>
          <w:sz w:val="18"/>
          <w:szCs w:val="18"/>
        </w:rPr>
        <w:t>. Гражданам запрещается осуществлять любительское рыболовство: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themeColor="text1" w:val="000000"/>
          <w:sz w:val="18"/>
          <w:szCs w:val="18"/>
        </w:rPr>
      </w:pPr>
      <w:r>
        <w:rPr>
          <w:color w:themeColor="text1" w:val="000000"/>
          <w:sz w:val="18"/>
          <w:szCs w:val="18"/>
        </w:rPr>
        <w:t>на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color w:themeColor="text1" w:val="000000"/>
          <w:sz w:val="18"/>
          <w:szCs w:val="18"/>
        </w:rPr>
        <w:t>на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>
      <w:pPr>
        <w:pStyle w:val="ConsPlusNormal"/>
        <w:ind w:firstLine="284"/>
        <w:rPr>
          <w:sz w:val="18"/>
          <w:szCs w:val="18"/>
        </w:rPr>
      </w:pPr>
      <w:r>
        <w:rPr>
          <w:sz w:val="18"/>
          <w:szCs w:val="18"/>
        </w:rPr>
        <w:t>13. При осуществлении рыболовства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13.2. гражданам осуществлять добычу (вылов)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судов и плавучих средств, не зарегистрированных в установленном порядке (за исключением судов и плавучих средств, не подлежащих государственной регистрации);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внутренних водных путях, используемых для судоходства;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границах рыбоводных участков, предоставленных для осуществления товарной аквакультуры (товарного рыбоводства);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 гражданам: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13.4.1. Иметь на борту судна и плавучих средств, на рыболовных участках и в местах добычи (вылова) (при осуществлении рыболовства вне рыболовных участков) в рабочем состоянии, пригодном для осуществления рыболовства, орудия добычи (вылова), применение которых в данном районе и в данный период времени запрещено.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13.4.7. Передвигаться по рекам, озерам, водохранилищам и их протокам на всех видах маломерных и прогулочных судов с применением моторов в запретные сроки (периоды) и в запретных местах, за исключением использования моторных судов и плавучих средств для осуществления рыболовства по разрешениям на добычу (вылов) водных биоресурсов;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13.4.8. Использовать маломерные и прогулочные суда в запретный период на водных объектах рыбохозяйственного значения (или их участках), указанных в </w:t>
      </w:r>
      <w:hyperlink w:anchor="P3040" w:tgtFrame="ПЕРЕЧЕНЬ">
        <w:r>
          <w:rPr>
            <w:rStyle w:val="ListLabel1"/>
            <w:sz w:val="18"/>
            <w:szCs w:val="18"/>
          </w:rPr>
          <w:t>приложении № 2</w:t>
        </w:r>
      </w:hyperlink>
      <w:r>
        <w:rPr>
          <w:sz w:val="18"/>
          <w:szCs w:val="18"/>
        </w:rPr>
        <w:t xml:space="preserve"> к Правилам рыболовства "Перечень водных объектов рыбохозяйственного значения (или их участков), на которых в запретный период запрещается использование маломерных и прогулочных судов", за исключением несамоходных судов, а также других судов, применяемых для осуществления разрешенной деятельности по рыболовству;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13.4.10. Допускать загрязнение водных объектов рыбохозяйственного значения и ухудшение естественных условий обитания водных биоресурсов;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13.4.11. Портить и разрушать предупреждающие аншлаги и знаки в рыбоохранных зонах водных объектов рыбохозяйственного значения.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 Гражданам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13.5.1. Осуществлять подводную охоту: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местах массового отдыха граждан;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аквалангов и других автономных дыхательных аппаратов;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использованием индивидуальных электронных средств обнаружения водных биоресурсов под водой;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13.5.2. Применять специальные пистолеты и ружья для подводной охоты с: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берега, борта плавучих средств и взабродку.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13.5.3. При нахождении на водном объекте и в его береговой полосе иметь при себе орудия добычи (вылова) водных биоресурсов, применение которых запрещено.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46. Районы, запретные для добычи (вылова) водных биоресурсов, устанавливаются: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нерестово-рыбоходных (обходных) каналах гидроузлов;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пределах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15 ноября по 31 марта - на зимовальных ямах, согласно </w:t>
      </w:r>
      <w:hyperlink w:anchor="P2549" w:tgtFrame="ПЕРЕЧЕНЬ">
        <w:r>
          <w:rPr>
            <w:rStyle w:val="ListLabel1"/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края, Республик Адыгея и Крым";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каналах нерестово-выростных хозяйств;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Азовском море, Керченском проливе и Таганрогском заливе - на расстоянии более 1,5 км от берега.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 В водных объектах рыбохозяйственного значения Ростовской области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46.1.1. добыча (вылов) всех видов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водных объектах рыбохозяйственного значения Донского запретного пространства (</w:t>
      </w:r>
      <w:hyperlink w:anchor="P3626" w:tgtFrame="КАРТА-СХЕМА ДОНСКОГО ЗАПРЕТНОГО ПРОСТРАНСТВА">
        <w:r>
          <w:rPr>
            <w:rStyle w:val="ListLabel1"/>
            <w:sz w:val="18"/>
            <w:szCs w:val="18"/>
          </w:rPr>
          <w:t>приложение № 3</w:t>
        </w:r>
      </w:hyperlink>
      <w:r>
        <w:rPr>
          <w:sz w:val="18"/>
          <w:szCs w:val="18"/>
        </w:rPr>
        <w:t xml:space="preserve"> к Правилам рыболовства "Карта-схема Донского запретного пространства");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в Миусском лимане - от Николаевского моста до моста автомобильной дороги Таганрог - Мариуполь;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в реке Дон: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 Кочетовского гидроузла до пристани "Кочетовская";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 Николаевского и Константиновского гидроузлов до точек, находящихся на расстоянии менее 500 м ниже устьев рыбоходно-нерестовых каналов;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перед впадением сбросного канала (теплого) Новочеркасской ГРЭС на расстоянии менее 500 м по обе стороны канала;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перед устьем реки Маныч на расстоянии менее 500 м по обе стороны от устья;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гирле Каланча - от западной окраины хутора Дугино до ответвления от него гирла Большая Кутерьма;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реках протяженностью до 10 км - с моторных судов и плавучих средств;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на расстоянии менее 500 м от Болотовского водосброса Веселовского водохранилища;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е) на акватории Цимлянского водохранилища, ограниченной следующими координатами*: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ж) в балке Большая Садковка в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з) в балке Малая Садковка в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и) в балке Куцая в Веселовском водохранилище</w:t>
      </w:r>
      <w:r>
        <w:rPr>
          <w:b/>
          <w:sz w:val="18"/>
          <w:szCs w:val="18"/>
        </w:rPr>
        <w:t>*;</w:t>
      </w:r>
      <w:r>
        <w:rPr>
          <w:sz w:val="18"/>
          <w:szCs w:val="18"/>
        </w:rPr>
        <w:t xml:space="preserve"> 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к) в балке Бугинская Веселовском водохранилище</w:t>
      </w:r>
      <w:r>
        <w:rPr>
          <w:b/>
          <w:sz w:val="18"/>
          <w:szCs w:val="18"/>
        </w:rPr>
        <w:t>*;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л) в акватории Веселовского водохранилища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в том числе залив Балка Соленая;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м) на участке реки Северский Донец от Усть-Быстрянской пристани до Бронницкой переправы,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поплавочной удочкой или донной удочкой с 1 крючком на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46.1.2. добыча (вылов) раков пресноводных в реке Койсуг (от устья до впадения в нее реки Чмутовой).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46.1.3. добыча (вылов) вьюна повсеместно в течение года.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 Запретные для добычи (вылова) водных биоресурсов сроки (периоды):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47.2. С 1 марта по 31 мая: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реке Мокрая Чумбурка - от устья до северо-западной окраины хутора Юшкино;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в Таганрогском заливе от юго-западной окраины села Маргаритово до северо-восточной окраины села Новомаргаритово и вглубь залива на расстоянии менее 1,5 км;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в) перед гирлом Миусского лимана на расстоянии менее 2,5 км в обе стороны от гирла;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г) в Веселовском водохранилище на следующих участках акватории: Балка Саговая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Житкова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Тазина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Большая Садковка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>, Балка Грекова</w:t>
      </w:r>
      <w:r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, 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д) в притоках реки Северский Донец: реке Кундрючья (от устья до Прохоровской плотины); реке Быстрая (от устья до административной границы поселка Жирнов); реке Калитва (от устья до административной границы поселка Литвиновка);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47.3. С 1 апреля по 31 мая: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в реке Аксай с впадающими в нее реками Тузлов, Грушевка и ериком Караич, рекой Черкасской с Махинским лиманом, реке Койсуг;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на расстоянии менее 500 м от автодорожных (относящихся к трассам федерального значения) и железнодорожных мостов, расположенных на всех несудоходных реках Азово-Черноморского рыбохозяйственного бассейна;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47.4. С 1 мая по 1 июня в Цимлянском водохранилище: от плотины Цимлянской ГЭС до железнодорожного моста у железнодорожной станции Ложки,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 (спиннинговая снасть (спиннинг), состоит из удилища и оснащается 1 естественной или искусственной приманкой, оснащенной не более чем 3 крючками (одинарными и (или) двойными и (или) тройными). Дополнительно перед приманкой может ставиться грузило без крючков.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47.7. С 20 апреля по 1 июня - в реке Дон со всеми его притоками, рукавами, протоками и полойными озерами на участке выше устья реки Иловля, за исключением добычи (вылова) водных биоресурсов с берега без использования всех видов судов и плавучих средств: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1 поплавочной удочкой (состоящей из удилища, лески, поплавка, грузила, поводка и крючка) или донной удочкой (состоящей из удилища, лески или шнура, грузила, поводка, крючка и кормушки) с 1 крючком на одного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спиннингом (спиннинговая снасть (спиннинг) состоит из удилища и оснащается 1 естественной или искусственной приманкой, оснащенной не более чем 3 крючками (одинарными, и (или) двойными и (или) тройными). Дополнительно перед приманкой может ставиться грузило без крючков.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47.9. С 1 сентября по 15 июня - с применением блесен на реке Дон: от водозабора Семикаракорского консервного завода до верхней оконечности острова Раздорского.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47.10. С распадения льда по 30 июня - на реке Маныч - от устья до запретного пространства Усть-Манычского гидроузла.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47.11. С 15 апреля по 15 июня - рыбца.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47.12. С 1 января по 14 июня - рака пресноводного в водных объектах Ростовской области (исключая Цимлянское водохранилище); с 1 января по 15 сентября - рака пресноводного в Цимлянском водохранилище;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47.13. С 15 ноября по 31 марта - на зимовальных ямах согласно </w:t>
      </w:r>
      <w:hyperlink w:anchor="P2549" w:tgtFrame="ПЕРЕЧЕНЬ">
        <w:r>
          <w:rPr>
            <w:rStyle w:val="ListLabel1"/>
            <w:sz w:val="18"/>
            <w:szCs w:val="18"/>
          </w:rPr>
          <w:t>приложению № 1</w:t>
        </w:r>
      </w:hyperlink>
      <w:r>
        <w:rPr>
          <w:sz w:val="18"/>
          <w:szCs w:val="18"/>
        </w:rPr>
        <w:t xml:space="preserve"> к Правилам рыболовства "Перечень зимовальных ям, расположенных на водных объектах рыбохозяйственного значения Воронежской, Волгоградской, Липецкой, Саратовской, Ростовской и Тульской областей, Краснодарского края и Республики Адыгея".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47.14. С 15 ноября по 31 марта - повсеместно на внутренних водных объектах осуществлять подводную охоту.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47.19. В течение всего года - судака и берша в реке Дон от плотины Цимлянского гидроузла до устья, включая бассейны всех впадающих в этот участок Дона рек (исключая Веселовское и Пролетарское водохранилища на реке Маныч), в Азовском море и в Таганрогском заливе.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47.20. С 1 декабря по 30 апреля - судака и берша в Веселовском и Пролетарском водохранилищах.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47.21 С 15 января по 15 апреля - щуки в водных объектах рыбохозяйственного значения Ростовской области.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47.22. С 15 марта по 30 апреля - судака в водных объектах рыбохозяйственного значения Ростовской области;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47.25. С 15 марта по 30 апреля - тарани и плотвы в Азовском море, Таганрогском заливе, реке Дон ниже плотины Цимлянской ГЭС с притоками (за исключением реки Маныч) и в бассейнах всех впадающих в море степных рек.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48. Запретными для добычи (вылова) видами водных биоресурсов являются: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морские млекопитающие, осетровые виды рыб, черноморский лосось, светлый горбыль, морской петух, речная минога, вырезуб, кутум, азово-черноморская шемая, самки рака пресноводного, вынашивающие яйца и личинок, и любые другие водные животные и растения, занесенные в Красную книгу Российской Федерации и красные книги субъектов Российской Федерации, в районе действия настоящей главы Правил рыболовства.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 Виды запретных орудий и способов добычи (вылова)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49.1. При любительском рыболовстве запрещается: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а) применение: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сетей всех типов; 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ловушек всех типов и конструкций, за исключением раколовок, использование которых допускается для добычи раков в пресноводных водных объектах;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тралящих и драгирующих орудий добычи (вылова);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отцеживающих и объячеивающих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капканов,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самоловных (красноловных) крючковых снастей;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огнестрельного и пневматического оружия, арбалетов и луков;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б) осуществлять добычу (вылов) водных биоресурсов: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способом багрения, глушения, гона (в том числе с помощью бряцал и ботания); переметами;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подсветку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на троллинг - с применением паруса и (или) мотора с использованием более 2 приманок на 1 судно или плавучее средство;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раколовками более 5 штук у 1 гражданина, каждый из параметров, разрешаемых раколовок (длина, ширина, высота - для многоугольных, высота, диаметр - для конических и цилиндрических) не должны превышать 80 см;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жаберным способом (при использовании жмыхоловок, комбайнов) с количеством одинарных крючков более 1 штуки;</w:t>
      </w:r>
    </w:p>
    <w:p>
      <w:pPr>
        <w:pStyle w:val="ConsPlusNormal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>раков пресноводных руками вброд или путем ныряния.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49.2. Гражданам запрещается самостоятельно изымать обнаруженные в водных объектах рыбохозяйственного значения орудия добычи (вылова) водных биоресурсов, запрещенные Правилами рыболовства, а также водные биоресурсы, находящиеся в таких орудиях добычи (вылова). Лица, обнаружившие такие орудия добычи (вылова) водных биоресурсов,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морских биоресурсов.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sz w:val="18"/>
          <w:szCs w:val="18"/>
        </w:rPr>
        <w:t>Примечание: * - координаты границ запретных участков акваторий водных объектов указаны в Правилах рыболовства</w:t>
      </w:r>
    </w:p>
    <w:sectPr>
      <w:type w:val="continuous"/>
      <w:pgSz w:orient="landscape" w:w="16838" w:h="11906"/>
      <w:pgMar w:left="284" w:right="284" w:gutter="0" w:header="0" w:top="284" w:footer="0" w:bottom="284"/>
      <w:cols w:num="3" w:space="316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816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5160"/>
    <w:rPr>
      <w:color w:themeColor="hyperlink" w:val="0000FF"/>
      <w:u w:val="single"/>
    </w:rPr>
  </w:style>
  <w:style w:type="character" w:styleId="St1" w:customStyle="1">
    <w:name w:val="st1"/>
    <w:qFormat/>
    <w:rsid w:val="005c5160"/>
    <w:rPr/>
  </w:style>
  <w:style w:type="character" w:styleId="Emphasis">
    <w:name w:val="Emphasis"/>
    <w:uiPriority w:val="20"/>
    <w:qFormat/>
    <w:rsid w:val="005c5160"/>
    <w:rPr>
      <w:b/>
      <w:bCs/>
      <w:i w:val="false"/>
      <w:iCs w:val="false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5c5160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Текст1"/>
    <w:basedOn w:val="Normal"/>
    <w:qFormat/>
    <w:rsid w:val="00a36ffd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816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Style15"/>
    <w:uiPriority w:val="99"/>
    <w:unhideWhenUsed/>
    <w:rsid w:val="005c5160"/>
    <w:pPr>
      <w:spacing w:lineRule="auto" w:line="240" w:before="0" w:after="0"/>
      <w:ind w:firstLine="540"/>
      <w:jc w:val="both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ConsPlusNormal" w:customStyle="1">
    <w:name w:val="ConsPlusNormal"/>
    <w:qFormat/>
    <w:rsid w:val="00d45b3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84b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752F-0C30-4B43-A70F-6307B31E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2</Pages>
  <Words>2016</Words>
  <Characters>12965</Characters>
  <CharactersWithSpaces>14877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2025-02-13T06:44:00Z</dcterms:created>
  <dc:creator>User</dc:creator>
  <dc:description/>
  <dc:language>ru-RU</dc:language>
  <cp:lastModifiedBy>user</cp:lastModifiedBy>
  <cp:lastPrinted>2025-02-13T06:50:00Z</cp:lastPrinted>
  <dcterms:modified xsi:type="dcterms:W3CDTF">2025-02-13T07:44:00Z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